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592D" w:rsidRDefault="00357DD4" w:rsidP="00DF7C98">
      <w:pPr>
        <w:jc w:val="center"/>
        <w:rPr>
          <w:b/>
          <w:sz w:val="32"/>
          <w:szCs w:val="32"/>
          <w:u w:val="single"/>
        </w:rPr>
      </w:pPr>
      <w:r w:rsidRPr="00357DD4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2991DE" wp14:editId="2ECDAE31">
                <wp:simplePos x="0" y="0"/>
                <wp:positionH relativeFrom="margin">
                  <wp:posOffset>-190500</wp:posOffset>
                </wp:positionH>
                <wp:positionV relativeFrom="paragraph">
                  <wp:posOffset>373380</wp:posOffset>
                </wp:positionV>
                <wp:extent cx="6499860" cy="7162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DD4" w:rsidRDefault="009960BB">
                            <w:r>
                              <w:t xml:space="preserve">General </w:t>
                            </w:r>
                            <w:r w:rsidR="00357DD4">
                              <w:t xml:space="preserve">Questions?  Contact Kerry Schuckman, FHSU Licensure Officer, 785-628-4542 or </w:t>
                            </w:r>
                            <w:hyperlink r:id="rId5" w:history="1">
                              <w:r w:rsidR="00357DD4" w:rsidRPr="00B7785E">
                                <w:rPr>
                                  <w:rStyle w:val="Hyperlink"/>
                                </w:rPr>
                                <w:t>kschuckm@fhsu.edu</w:t>
                              </w:r>
                            </w:hyperlink>
                            <w:r w:rsidR="00357DD4">
                              <w:t xml:space="preserve"> or KSDE </w:t>
                            </w:r>
                            <w:r>
                              <w:t xml:space="preserve">Assistant </w:t>
                            </w:r>
                            <w:r w:rsidR="00357DD4">
                              <w:t xml:space="preserve">General Counsel, </w:t>
                            </w:r>
                            <w:r>
                              <w:t xml:space="preserve">Kelli </w:t>
                            </w:r>
                            <w:proofErr w:type="spellStart"/>
                            <w:r>
                              <w:t>Broers</w:t>
                            </w:r>
                            <w:proofErr w:type="spellEnd"/>
                            <w:r>
                              <w:t xml:space="preserve">, 785-296-3204, </w:t>
                            </w:r>
                            <w:hyperlink r:id="rId6" w:history="1">
                              <w:r w:rsidRPr="00B7785E">
                                <w:rPr>
                                  <w:rStyle w:val="Hyperlink"/>
                                </w:rPr>
                                <w:t>kbroers@ksde.org</w:t>
                              </w:r>
                            </w:hyperlink>
                            <w:r>
                              <w:t>.  Note, the KSDE Office of General Counsel does not advise school districts or private individuals.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D299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29.4pt;width:511.8pt;height:5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">
                <v:textbox>
                  <w:txbxContent>
                    <w:p w:rsidR="00357DD4" w:rsidRDefault="009960BB">
                      <w:r>
                        <w:t xml:space="preserve">General </w:t>
                      </w:r>
                      <w:r w:rsidR="00357DD4">
                        <w:t xml:space="preserve">Questions?  Contact Kerry Schuckman, FHSU Licensure Officer, 785-628-4542 or </w:t>
                      </w:r>
                      <w:hyperlink r:id="rId7" w:history="1">
                        <w:r w:rsidR="00357DD4" w:rsidRPr="00B7785E">
                          <w:rPr>
                            <w:rStyle w:val="Hyperlink"/>
                          </w:rPr>
                          <w:t>kschuckm@fhsu.edu</w:t>
                        </w:r>
                      </w:hyperlink>
                      <w:r w:rsidR="00357DD4">
                        <w:t xml:space="preserve"> or KSDE </w:t>
                      </w:r>
                      <w:r>
                        <w:t xml:space="preserve">Assistant </w:t>
                      </w:r>
                      <w:r w:rsidR="00357DD4">
                        <w:t xml:space="preserve">General Counsel, </w:t>
                      </w:r>
                      <w:r>
                        <w:t xml:space="preserve">Kelli Broers, 785-296-3204, </w:t>
                      </w:r>
                      <w:hyperlink r:id="rId8" w:history="1">
                        <w:r w:rsidRPr="00B7785E">
                          <w:rPr>
                            <w:rStyle w:val="Hyperlink"/>
                          </w:rPr>
                          <w:t>kbroers@ksde.org</w:t>
                        </w:r>
                      </w:hyperlink>
                      <w:r>
                        <w:t>.  Note, the KSDE Office of General Counsel does not advise school districts or private individuals.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7C98" w:rsidRPr="00773380">
        <w:rPr>
          <w:b/>
          <w:sz w:val="32"/>
          <w:szCs w:val="32"/>
          <w:u w:val="single"/>
        </w:rPr>
        <w:t>L</w:t>
      </w:r>
      <w:r w:rsidR="0052539B" w:rsidRPr="00773380">
        <w:rPr>
          <w:b/>
          <w:sz w:val="32"/>
          <w:szCs w:val="32"/>
          <w:u w:val="single"/>
        </w:rPr>
        <w:t xml:space="preserve">egal </w:t>
      </w:r>
      <w:r w:rsidR="00DF7C98" w:rsidRPr="00773380">
        <w:rPr>
          <w:b/>
          <w:sz w:val="32"/>
          <w:szCs w:val="32"/>
          <w:u w:val="single"/>
        </w:rPr>
        <w:t>I</w:t>
      </w:r>
      <w:r w:rsidR="0052539B" w:rsidRPr="00773380">
        <w:rPr>
          <w:b/>
          <w:sz w:val="32"/>
          <w:szCs w:val="32"/>
          <w:u w:val="single"/>
        </w:rPr>
        <w:t>ssues</w:t>
      </w:r>
      <w:r w:rsidR="00DF7C98" w:rsidRPr="00773380">
        <w:rPr>
          <w:b/>
          <w:sz w:val="32"/>
          <w:szCs w:val="32"/>
          <w:u w:val="single"/>
        </w:rPr>
        <w:t xml:space="preserve"> Pertaining to a Kansas Teaching License</w:t>
      </w:r>
    </w:p>
    <w:p w:rsidR="00872EBB" w:rsidRPr="00773380" w:rsidRDefault="00872EBB">
      <w:pPr>
        <w:rPr>
          <w:b/>
          <w:sz w:val="28"/>
          <w:szCs w:val="28"/>
          <w:u w:val="single"/>
        </w:rPr>
      </w:pPr>
      <w:r w:rsidRPr="00773380">
        <w:rPr>
          <w:b/>
          <w:sz w:val="28"/>
          <w:szCs w:val="28"/>
          <w:u w:val="single"/>
        </w:rPr>
        <w:t>KSDE Legal Process</w:t>
      </w:r>
    </w:p>
    <w:p w:rsidR="0052539B" w:rsidRDefault="0052539B" w:rsidP="0052539B">
      <w:pPr>
        <w:pStyle w:val="ListParagraph"/>
        <w:numPr>
          <w:ilvl w:val="0"/>
          <w:numId w:val="1"/>
        </w:numPr>
      </w:pPr>
      <w:r>
        <w:t xml:space="preserve">If </w:t>
      </w:r>
      <w:r w:rsidRPr="0052539B">
        <w:rPr>
          <w:b/>
          <w:i/>
        </w:rPr>
        <w:t xml:space="preserve">anything </w:t>
      </w:r>
      <w:r>
        <w:t xml:space="preserve">shows up on a background check for an application for a teaching license, it will automatically be referred to KSDE Legal Dept.  </w:t>
      </w:r>
    </w:p>
    <w:p w:rsidR="0052539B" w:rsidRPr="00872EBB" w:rsidRDefault="0052539B" w:rsidP="0052539B">
      <w:pPr>
        <w:pStyle w:val="ListParagraph"/>
        <w:numPr>
          <w:ilvl w:val="0"/>
          <w:numId w:val="1"/>
        </w:numPr>
        <w:rPr>
          <w:i/>
        </w:rPr>
      </w:pPr>
      <w:r>
        <w:t xml:space="preserve">If a conviction was expunged, you do not need to disclose it on the application.  If you wait to expunge it </w:t>
      </w:r>
      <w:r w:rsidR="00872EBB">
        <w:t xml:space="preserve">until </w:t>
      </w:r>
      <w:r>
        <w:t>after you’ve submitted your application and KSDE is aware of the conviction, they will handle it as any other offense that they are aware of.</w:t>
      </w:r>
      <w:r w:rsidR="00872EBB">
        <w:t xml:space="preserve"> </w:t>
      </w:r>
      <w:r w:rsidR="00872EBB" w:rsidRPr="00872EBB">
        <w:rPr>
          <w:i/>
        </w:rPr>
        <w:t>(see Expungement below)</w:t>
      </w:r>
    </w:p>
    <w:p w:rsidR="0052539B" w:rsidRDefault="0052539B" w:rsidP="0052539B">
      <w:pPr>
        <w:pStyle w:val="ListParagraph"/>
        <w:numPr>
          <w:ilvl w:val="0"/>
          <w:numId w:val="1"/>
        </w:numPr>
      </w:pPr>
      <w:r>
        <w:t>KSDE can, and will, look at diversions unless it has been expunged.</w:t>
      </w:r>
    </w:p>
    <w:p w:rsidR="0052539B" w:rsidRDefault="0052539B" w:rsidP="0052539B">
      <w:pPr>
        <w:pStyle w:val="ListParagraph"/>
        <w:numPr>
          <w:ilvl w:val="0"/>
          <w:numId w:val="1"/>
        </w:numPr>
      </w:pPr>
      <w:r>
        <w:t xml:space="preserve">These offenses </w:t>
      </w:r>
      <w:r w:rsidRPr="00773380">
        <w:rPr>
          <w:u w:val="single"/>
        </w:rPr>
        <w:t>do not require a hearing</w:t>
      </w:r>
      <w:r>
        <w:t xml:space="preserve"> and you do not need to mark “yes” on the application:</w:t>
      </w:r>
    </w:p>
    <w:p w:rsidR="0052539B" w:rsidRDefault="0052539B" w:rsidP="0052539B">
      <w:pPr>
        <w:pStyle w:val="ListParagraph"/>
        <w:numPr>
          <w:ilvl w:val="1"/>
          <w:numId w:val="1"/>
        </w:numPr>
      </w:pPr>
      <w:r>
        <w:t>DUI (if it is the 1</w:t>
      </w:r>
      <w:r w:rsidRPr="0052539B">
        <w:rPr>
          <w:vertAlign w:val="superscript"/>
        </w:rPr>
        <w:t>st</w:t>
      </w:r>
      <w:r>
        <w:t xml:space="preserve"> or 2</w:t>
      </w:r>
      <w:r w:rsidRPr="0052539B">
        <w:rPr>
          <w:vertAlign w:val="superscript"/>
        </w:rPr>
        <w:t>nd</w:t>
      </w:r>
      <w:r>
        <w:t xml:space="preserve"> one</w:t>
      </w:r>
      <w:r w:rsidR="0027384A">
        <w:t>—a misdemeanor</w:t>
      </w:r>
      <w:r>
        <w:t>)</w:t>
      </w:r>
    </w:p>
    <w:p w:rsidR="0052539B" w:rsidRDefault="0052539B" w:rsidP="0052539B">
      <w:pPr>
        <w:pStyle w:val="ListParagraph"/>
        <w:numPr>
          <w:ilvl w:val="1"/>
          <w:numId w:val="1"/>
        </w:numPr>
      </w:pPr>
      <w:r>
        <w:t>Battery</w:t>
      </w:r>
    </w:p>
    <w:p w:rsidR="0052539B" w:rsidRDefault="0052539B" w:rsidP="0052539B">
      <w:pPr>
        <w:pStyle w:val="ListParagraph"/>
        <w:numPr>
          <w:ilvl w:val="1"/>
          <w:numId w:val="1"/>
        </w:numPr>
      </w:pPr>
      <w:r>
        <w:t>Traffic offenses</w:t>
      </w:r>
    </w:p>
    <w:p w:rsidR="0052539B" w:rsidRDefault="0052539B" w:rsidP="0052539B">
      <w:pPr>
        <w:pStyle w:val="ListParagraph"/>
        <w:numPr>
          <w:ilvl w:val="1"/>
          <w:numId w:val="1"/>
        </w:numPr>
      </w:pPr>
      <w:r>
        <w:t>Criminal damage to property</w:t>
      </w:r>
    </w:p>
    <w:p w:rsidR="0052539B" w:rsidRDefault="0052539B" w:rsidP="0052539B">
      <w:pPr>
        <w:pStyle w:val="ListParagraph"/>
        <w:numPr>
          <w:ilvl w:val="1"/>
          <w:numId w:val="1"/>
        </w:numPr>
      </w:pPr>
      <w:r>
        <w:t>MIP</w:t>
      </w:r>
    </w:p>
    <w:p w:rsidR="0052539B" w:rsidRDefault="0052539B" w:rsidP="0052539B">
      <w:pPr>
        <w:pStyle w:val="ListParagraph"/>
        <w:numPr>
          <w:ilvl w:val="0"/>
          <w:numId w:val="1"/>
        </w:numPr>
      </w:pPr>
      <w:r>
        <w:t xml:space="preserve">These offenses </w:t>
      </w:r>
      <w:r w:rsidRPr="00773380">
        <w:rPr>
          <w:u w:val="single"/>
        </w:rPr>
        <w:t>will require a hearing</w:t>
      </w:r>
      <w:r>
        <w:t>:</w:t>
      </w:r>
    </w:p>
    <w:p w:rsidR="0052539B" w:rsidRDefault="0052539B" w:rsidP="00DF3790">
      <w:pPr>
        <w:pStyle w:val="ListParagraph"/>
        <w:numPr>
          <w:ilvl w:val="1"/>
          <w:numId w:val="1"/>
        </w:numPr>
      </w:pPr>
      <w:r>
        <w:t xml:space="preserve">Theft (misdemeanor or felony) </w:t>
      </w:r>
    </w:p>
    <w:p w:rsidR="0052539B" w:rsidRDefault="0052539B" w:rsidP="00DF3790">
      <w:pPr>
        <w:pStyle w:val="ListParagraph"/>
        <w:numPr>
          <w:ilvl w:val="1"/>
          <w:numId w:val="1"/>
        </w:numPr>
      </w:pPr>
      <w:r>
        <w:t>Possession of drugs/paraphernalia</w:t>
      </w:r>
    </w:p>
    <w:p w:rsidR="0052539B" w:rsidRDefault="0052539B" w:rsidP="00DF3790">
      <w:pPr>
        <w:pStyle w:val="ListParagraph"/>
        <w:numPr>
          <w:ilvl w:val="1"/>
          <w:numId w:val="1"/>
        </w:numPr>
      </w:pPr>
      <w:r>
        <w:t>Crimes involving children, including “hosting” minors</w:t>
      </w:r>
    </w:p>
    <w:p w:rsidR="00872EBB" w:rsidRDefault="009960BB" w:rsidP="00872EBB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19D7A0" wp14:editId="1F72133B">
                <wp:simplePos x="0" y="0"/>
                <wp:positionH relativeFrom="column">
                  <wp:posOffset>-457200</wp:posOffset>
                </wp:positionH>
                <wp:positionV relativeFrom="paragraph">
                  <wp:posOffset>982980</wp:posOffset>
                </wp:positionV>
                <wp:extent cx="6705600" cy="3528060"/>
                <wp:effectExtent l="19050" t="1905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52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380" w:rsidRPr="00773380" w:rsidRDefault="00773380" w:rsidP="0077338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3380">
                              <w:rPr>
                                <w:b/>
                                <w:sz w:val="28"/>
                                <w:szCs w:val="28"/>
                              </w:rPr>
                              <w:t>If you receive a letter from the KSDE Office of General Counsel: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proofErr w:type="gramStart"/>
                            <w:r w:rsidRPr="00692F2F">
                              <w:rPr>
                                <w:b/>
                              </w:rPr>
                              <w:t>follow</w:t>
                            </w:r>
                            <w:proofErr w:type="gramEnd"/>
                            <w:r w:rsidRPr="00692F2F">
                              <w:rPr>
                                <w:b/>
                              </w:rPr>
                              <w:t xml:space="preserve"> all directions carefully and submit all documents they request.</w:t>
                            </w:r>
                            <w:r w:rsidRPr="00692F2F">
                              <w:t xml:space="preserve">  KSDE cannot provide you with advice or help you obtain those documents;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 w:rsidRPr="00692F2F">
                              <w:t>you will need to contact the Clerk of the Court to obtain documents related to your case: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f</w:t>
                            </w:r>
                            <w:r w:rsidRPr="00692F2F">
                              <w:t xml:space="preserve">or </w:t>
                            </w:r>
                            <w:r>
                              <w:t>C</w:t>
                            </w:r>
                            <w:r w:rsidRPr="00692F2F">
                              <w:t>onvictions-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o</w:t>
                            </w:r>
                            <w:r w:rsidRPr="00692F2F">
                              <w:t xml:space="preserve">btain </w:t>
                            </w:r>
                            <w:r w:rsidRPr="00692F2F">
                              <w:rPr>
                                <w:u w:val="single"/>
                              </w:rPr>
                              <w:t xml:space="preserve">certified </w:t>
                            </w:r>
                            <w:r w:rsidRPr="00692F2F">
                              <w:t>copies of the charging documents (complaint or citation/ticket); and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</w:pPr>
                            <w:proofErr w:type="gramStart"/>
                            <w:r>
                              <w:t>o</w:t>
                            </w:r>
                            <w:r w:rsidRPr="00692F2F">
                              <w:t>btain</w:t>
                            </w:r>
                            <w:proofErr w:type="gramEnd"/>
                            <w:r w:rsidRPr="00692F2F">
                              <w:t xml:space="preserve"> </w:t>
                            </w:r>
                            <w:r w:rsidRPr="00692F2F">
                              <w:rPr>
                                <w:u w:val="single"/>
                              </w:rPr>
                              <w:t>certified</w:t>
                            </w:r>
                            <w:r w:rsidRPr="00692F2F">
                              <w:t xml:space="preserve"> copies of the journal entry of conviction.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f</w:t>
                            </w:r>
                            <w:r w:rsidRPr="00692F2F">
                              <w:t>or Diversions-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o</w:t>
                            </w:r>
                            <w:r w:rsidRPr="00692F2F">
                              <w:t xml:space="preserve">btain </w:t>
                            </w:r>
                            <w:r w:rsidRPr="00692F2F">
                              <w:rPr>
                                <w:u w:val="single"/>
                              </w:rPr>
                              <w:t>certified</w:t>
                            </w:r>
                            <w:r w:rsidRPr="00692F2F">
                              <w:t xml:space="preserve"> copies of the charging documents, and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rPr>
                                <w:u w:val="single"/>
                              </w:rPr>
                              <w:t>c</w:t>
                            </w:r>
                            <w:r w:rsidRPr="00692F2F">
                              <w:rPr>
                                <w:u w:val="single"/>
                              </w:rPr>
                              <w:t>ertified</w:t>
                            </w:r>
                            <w:r w:rsidRPr="00692F2F">
                              <w:t xml:space="preserve"> copy of the diversion agreement; and</w:t>
                            </w:r>
                          </w:p>
                          <w:p w:rsidR="00773380" w:rsidRPr="00692F2F" w:rsidRDefault="00773380" w:rsidP="00773380">
                            <w:pPr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u w:val="single"/>
                              </w:rPr>
                              <w:t>c</w:t>
                            </w:r>
                            <w:r w:rsidRPr="00692F2F">
                              <w:rPr>
                                <w:u w:val="single"/>
                              </w:rPr>
                              <w:t>ertified</w:t>
                            </w:r>
                            <w:proofErr w:type="gramEnd"/>
                            <w:r w:rsidRPr="00692F2F">
                              <w:t xml:space="preserve"> copy of the journal entry of dismissal.</w:t>
                            </w:r>
                          </w:p>
                          <w:p w:rsidR="00773380" w:rsidRPr="00692F2F" w:rsidRDefault="00773380" w:rsidP="00773380">
                            <w:pPr>
                              <w:ind w:left="780"/>
                            </w:pPr>
                          </w:p>
                          <w:p w:rsidR="00773380" w:rsidRPr="00692F2F" w:rsidRDefault="00773380" w:rsidP="0077338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92F2F">
                              <w:rPr>
                                <w:b/>
                              </w:rPr>
                              <w:t xml:space="preserve">you may be instructed to appear </w:t>
                            </w:r>
                            <w:r>
                              <w:rPr>
                                <w:b/>
                              </w:rPr>
                              <w:t xml:space="preserve">at a hearing </w:t>
                            </w:r>
                            <w:r w:rsidRPr="00692F2F">
                              <w:rPr>
                                <w:b/>
                              </w:rPr>
                              <w:t xml:space="preserve">before the Professional Practices Commission </w:t>
                            </w:r>
                            <w:r w:rsidRPr="0027384A">
                              <w:t>(</w:t>
                            </w:r>
                            <w:r w:rsidRPr="00692F2F">
                              <w:t>a KSDE</w:t>
                            </w:r>
                            <w:r w:rsidRPr="00692F2F">
                              <w:rPr>
                                <w:b/>
                              </w:rPr>
                              <w:t xml:space="preserve"> </w:t>
                            </w:r>
                            <w:r w:rsidRPr="00692F2F">
                              <w:t>committee of working teachers, KSDE and Higher Education representatives); and</w:t>
                            </w:r>
                          </w:p>
                          <w:p w:rsidR="00773380" w:rsidRDefault="00773380" w:rsidP="0045321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proofErr w:type="gramStart"/>
                            <w:r w:rsidRPr="00692F2F">
                              <w:t>any</w:t>
                            </w:r>
                            <w:proofErr w:type="gramEnd"/>
                            <w:r w:rsidRPr="00692F2F">
                              <w:t xml:space="preserve"> decision from the Professional Practices Commission will go before the State Board of Education for final action.</w:t>
                            </w:r>
                          </w:p>
                          <w:p w:rsidR="00773380" w:rsidRDefault="00773380" w:rsidP="0045321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proofErr w:type="gramStart"/>
                            <w:r w:rsidRPr="00773380">
                              <w:rPr>
                                <w:i/>
                              </w:rPr>
                              <w:t>just</w:t>
                            </w:r>
                            <w:proofErr w:type="gramEnd"/>
                            <w:r w:rsidRPr="00773380">
                              <w:rPr>
                                <w:i/>
                              </w:rPr>
                              <w:t xml:space="preserve"> because you may have had an emergency sub license approved does not guarantee a teaching license will be!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19D7A0" id="_x0000_s1027" type="#_x0000_t202" style="position:absolute;left:0;text-align:left;margin-left:-36pt;margin-top:77.4pt;width:528pt;height:27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" strokeweight="2.25pt">
                <v:stroke linestyle="thinThin"/>
                <v:textbox>
                  <w:txbxContent>
                    <w:p w:rsidR="00773380" w:rsidRPr="00773380" w:rsidRDefault="00773380" w:rsidP="0077338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73380">
                        <w:rPr>
                          <w:b/>
                          <w:sz w:val="28"/>
                          <w:szCs w:val="28"/>
                        </w:rPr>
                        <w:t>If you receive a letter from the KSDE Office of General Counsel:</w:t>
                      </w:r>
                    </w:p>
                    <w:p w:rsidR="00773380" w:rsidRPr="00692F2F" w:rsidRDefault="00773380" w:rsidP="0077338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692F2F">
                        <w:rPr>
                          <w:b/>
                        </w:rPr>
                        <w:t>follow all directions carefully and submit all documents they request.</w:t>
                      </w:r>
                      <w:r w:rsidRPr="00692F2F">
                        <w:t xml:space="preserve">  KSDE cannot provide you with advice or help you obtain those documents;</w:t>
                      </w:r>
                    </w:p>
                    <w:p w:rsidR="00773380" w:rsidRPr="00692F2F" w:rsidRDefault="00773380" w:rsidP="0077338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692F2F">
                        <w:t>you will need to contact the Clerk of the Court to obtain documents related to your case:</w:t>
                      </w:r>
                    </w:p>
                    <w:p w:rsidR="00773380" w:rsidRPr="00692F2F" w:rsidRDefault="00773380" w:rsidP="00773380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</w:pPr>
                      <w:r>
                        <w:t>f</w:t>
                      </w:r>
                      <w:r w:rsidRPr="00692F2F">
                        <w:t xml:space="preserve">or </w:t>
                      </w:r>
                      <w:r>
                        <w:t>C</w:t>
                      </w:r>
                      <w:r w:rsidRPr="00692F2F">
                        <w:t>onvictions-</w:t>
                      </w:r>
                    </w:p>
                    <w:p w:rsidR="00773380" w:rsidRPr="00692F2F" w:rsidRDefault="00773380" w:rsidP="00773380">
                      <w:pPr>
                        <w:numPr>
                          <w:ilvl w:val="2"/>
                          <w:numId w:val="6"/>
                        </w:numPr>
                        <w:spacing w:after="0" w:line="240" w:lineRule="auto"/>
                      </w:pPr>
                      <w:r>
                        <w:t>o</w:t>
                      </w:r>
                      <w:r w:rsidRPr="00692F2F">
                        <w:t xml:space="preserve">btain </w:t>
                      </w:r>
                      <w:r w:rsidRPr="00692F2F">
                        <w:rPr>
                          <w:u w:val="single"/>
                        </w:rPr>
                        <w:t xml:space="preserve">certified </w:t>
                      </w:r>
                      <w:r w:rsidRPr="00692F2F">
                        <w:t>copies of the charging documents (complaint or citation/ticket); and</w:t>
                      </w:r>
                    </w:p>
                    <w:p w:rsidR="00773380" w:rsidRPr="00692F2F" w:rsidRDefault="00773380" w:rsidP="00773380">
                      <w:pPr>
                        <w:numPr>
                          <w:ilvl w:val="2"/>
                          <w:numId w:val="6"/>
                        </w:numPr>
                        <w:spacing w:after="0" w:line="240" w:lineRule="auto"/>
                      </w:pPr>
                      <w:r>
                        <w:t>o</w:t>
                      </w:r>
                      <w:r w:rsidRPr="00692F2F">
                        <w:t xml:space="preserve">btain </w:t>
                      </w:r>
                      <w:r w:rsidRPr="00692F2F">
                        <w:rPr>
                          <w:u w:val="single"/>
                        </w:rPr>
                        <w:t>certified</w:t>
                      </w:r>
                      <w:r w:rsidRPr="00692F2F">
                        <w:t xml:space="preserve"> copies of the journal entry of conviction.</w:t>
                      </w:r>
                    </w:p>
                    <w:p w:rsidR="00773380" w:rsidRPr="00692F2F" w:rsidRDefault="00773380" w:rsidP="00773380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</w:pPr>
                      <w:r>
                        <w:t>f</w:t>
                      </w:r>
                      <w:r w:rsidRPr="00692F2F">
                        <w:t>or Diversions-</w:t>
                      </w:r>
                    </w:p>
                    <w:p w:rsidR="00773380" w:rsidRPr="00692F2F" w:rsidRDefault="00773380" w:rsidP="00773380">
                      <w:pPr>
                        <w:numPr>
                          <w:ilvl w:val="2"/>
                          <w:numId w:val="6"/>
                        </w:numPr>
                        <w:spacing w:after="0" w:line="240" w:lineRule="auto"/>
                      </w:pPr>
                      <w:r>
                        <w:t>o</w:t>
                      </w:r>
                      <w:r w:rsidRPr="00692F2F">
                        <w:t xml:space="preserve">btain </w:t>
                      </w:r>
                      <w:r w:rsidRPr="00692F2F">
                        <w:rPr>
                          <w:u w:val="single"/>
                        </w:rPr>
                        <w:t>certified</w:t>
                      </w:r>
                      <w:r w:rsidRPr="00692F2F">
                        <w:t xml:space="preserve"> copies of the charging documents, and</w:t>
                      </w:r>
                    </w:p>
                    <w:p w:rsidR="00773380" w:rsidRPr="00692F2F" w:rsidRDefault="00773380" w:rsidP="00773380">
                      <w:pPr>
                        <w:numPr>
                          <w:ilvl w:val="2"/>
                          <w:numId w:val="6"/>
                        </w:numPr>
                        <w:spacing w:after="0" w:line="240" w:lineRule="auto"/>
                      </w:pPr>
                      <w:r>
                        <w:rPr>
                          <w:u w:val="single"/>
                        </w:rPr>
                        <w:t>c</w:t>
                      </w:r>
                      <w:r w:rsidRPr="00692F2F">
                        <w:rPr>
                          <w:u w:val="single"/>
                        </w:rPr>
                        <w:t>ertified</w:t>
                      </w:r>
                      <w:r w:rsidRPr="00692F2F">
                        <w:t xml:space="preserve"> copy of the diversion agreement; and</w:t>
                      </w:r>
                    </w:p>
                    <w:p w:rsidR="00773380" w:rsidRPr="00692F2F" w:rsidRDefault="00773380" w:rsidP="00773380">
                      <w:pPr>
                        <w:numPr>
                          <w:ilvl w:val="2"/>
                          <w:numId w:val="6"/>
                        </w:numPr>
                        <w:spacing w:after="0" w:line="240" w:lineRule="auto"/>
                      </w:pPr>
                      <w:r>
                        <w:rPr>
                          <w:u w:val="single"/>
                        </w:rPr>
                        <w:t>c</w:t>
                      </w:r>
                      <w:r w:rsidRPr="00692F2F">
                        <w:rPr>
                          <w:u w:val="single"/>
                        </w:rPr>
                        <w:t>ertified</w:t>
                      </w:r>
                      <w:r w:rsidRPr="00692F2F">
                        <w:t xml:space="preserve"> copy of the journal entry of dismissal.</w:t>
                      </w:r>
                    </w:p>
                    <w:p w:rsidR="00773380" w:rsidRPr="00692F2F" w:rsidRDefault="00773380" w:rsidP="00773380">
                      <w:pPr>
                        <w:ind w:left="780"/>
                      </w:pPr>
                    </w:p>
                    <w:p w:rsidR="00773380" w:rsidRPr="00692F2F" w:rsidRDefault="00773380" w:rsidP="0077338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92F2F">
                        <w:rPr>
                          <w:b/>
                        </w:rPr>
                        <w:t xml:space="preserve">you may be instructed to appear </w:t>
                      </w:r>
                      <w:r>
                        <w:rPr>
                          <w:b/>
                        </w:rPr>
                        <w:t xml:space="preserve">at a hearing </w:t>
                      </w:r>
                      <w:r w:rsidRPr="00692F2F">
                        <w:rPr>
                          <w:b/>
                        </w:rPr>
                        <w:t xml:space="preserve">before the Professional Practices Commission </w:t>
                      </w:r>
                      <w:r w:rsidRPr="0027384A">
                        <w:t>(</w:t>
                      </w:r>
                      <w:r w:rsidRPr="00692F2F">
                        <w:t>a KSDE</w:t>
                      </w:r>
                      <w:r w:rsidRPr="00692F2F">
                        <w:rPr>
                          <w:b/>
                        </w:rPr>
                        <w:t xml:space="preserve"> </w:t>
                      </w:r>
                      <w:r w:rsidRPr="00692F2F">
                        <w:t>committee of working teachers, KSDE and Higher Education representatives); and</w:t>
                      </w:r>
                    </w:p>
                    <w:p w:rsidR="00773380" w:rsidRDefault="00773380" w:rsidP="0045321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692F2F">
                        <w:t>any decision from the Professional Practices Commission will go before the State Board of Education for final action.</w:t>
                      </w:r>
                    </w:p>
                    <w:p w:rsidR="00773380" w:rsidRDefault="00773380" w:rsidP="0045321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773380">
                        <w:rPr>
                          <w:i/>
                        </w:rPr>
                        <w:t>just because you may have had an emergency sub license approved does not guarantee a teaching license will be!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2EBB">
        <w:t xml:space="preserve">KSDE’s recommendation is to submit fingerprints right away when you are nearing time to want to get your license.  KSDE Legal </w:t>
      </w:r>
      <w:proofErr w:type="spellStart"/>
      <w:r w:rsidR="00872EBB">
        <w:t>Dept</w:t>
      </w:r>
      <w:proofErr w:type="spellEnd"/>
      <w:r w:rsidR="00872EBB">
        <w:t xml:space="preserve"> will not review your case or contact you until the license application has been received.  Hearings fill up quickly and are not held every month – could be a 4-6 month process before the outcome is known.</w:t>
      </w:r>
      <w:r>
        <w:tab/>
      </w:r>
      <w:r>
        <w:tab/>
      </w:r>
      <w:r>
        <w:tab/>
      </w:r>
      <w:r>
        <w:tab/>
      </w:r>
      <w:r>
        <w:tab/>
      </w:r>
    </w:p>
    <w:p w:rsidR="00872EBB" w:rsidRPr="00773380" w:rsidRDefault="00872EBB" w:rsidP="00872EBB">
      <w:pPr>
        <w:rPr>
          <w:b/>
          <w:sz w:val="28"/>
          <w:szCs w:val="28"/>
          <w:u w:val="single"/>
        </w:rPr>
      </w:pPr>
      <w:r w:rsidRPr="00773380">
        <w:rPr>
          <w:b/>
          <w:sz w:val="28"/>
          <w:szCs w:val="28"/>
          <w:u w:val="single"/>
        </w:rPr>
        <w:lastRenderedPageBreak/>
        <w:t>Good Things to Know</w:t>
      </w:r>
    </w:p>
    <w:p w:rsidR="0052539B" w:rsidRDefault="00773380" w:rsidP="00F4776A">
      <w:pPr>
        <w:pStyle w:val="ListParagraph"/>
        <w:numPr>
          <w:ilvl w:val="0"/>
          <w:numId w:val="9"/>
        </w:numPr>
      </w:pPr>
      <w:r w:rsidRPr="00F4776A">
        <w:t>Example</w:t>
      </w:r>
      <w:r>
        <w:t xml:space="preserve">:  </w:t>
      </w:r>
      <w:r w:rsidR="0052539B">
        <w:t xml:space="preserve">If someone has a </w:t>
      </w:r>
      <w:r w:rsidR="00DF7C98">
        <w:t>diversion agreement</w:t>
      </w:r>
      <w:r w:rsidR="0052539B">
        <w:t xml:space="preserve"> for possession of </w:t>
      </w:r>
      <w:r w:rsidR="00DF7C98">
        <w:t xml:space="preserve">small amount of </w:t>
      </w:r>
      <w:r w:rsidR="0052539B">
        <w:t xml:space="preserve">pot, should mark </w:t>
      </w:r>
      <w:r w:rsidR="00DF7C98">
        <w:t>“no” to being convicted of a felony, “no” to being convicted of any crime involving drugs, etc. and “yes” to have you entered into a diversion agreement for drugs.</w:t>
      </w:r>
    </w:p>
    <w:p w:rsidR="00DF7C98" w:rsidRDefault="00DF7C98" w:rsidP="00F4776A">
      <w:pPr>
        <w:pStyle w:val="ListParagraph"/>
        <w:numPr>
          <w:ilvl w:val="0"/>
          <w:numId w:val="9"/>
        </w:numPr>
      </w:pPr>
      <w:r>
        <w:t>Someone does not need to have a criminal conviction in order to have a license denied.</w:t>
      </w:r>
    </w:p>
    <w:p w:rsidR="00DF7C98" w:rsidRDefault="00DF7C98" w:rsidP="00F4776A">
      <w:pPr>
        <w:pStyle w:val="ListParagraph"/>
        <w:numPr>
          <w:ilvl w:val="0"/>
          <w:numId w:val="9"/>
        </w:numPr>
      </w:pPr>
      <w:r>
        <w:t xml:space="preserve">Applicants don’t get the results of their fingerprint check unless KSDE Legal </w:t>
      </w:r>
      <w:proofErr w:type="spellStart"/>
      <w:r>
        <w:t>Dept</w:t>
      </w:r>
      <w:proofErr w:type="spellEnd"/>
      <w:r>
        <w:t xml:space="preserve"> contacts you.</w:t>
      </w:r>
    </w:p>
    <w:p w:rsidR="00DF7C98" w:rsidRDefault="00DF7C98" w:rsidP="00F4776A">
      <w:pPr>
        <w:pStyle w:val="ListParagraph"/>
        <w:numPr>
          <w:ilvl w:val="0"/>
          <w:numId w:val="9"/>
        </w:numPr>
      </w:pPr>
      <w:r>
        <w:t xml:space="preserve">If you had an Emergency Substitute Teaching License issued and you had disclosed something at that time, you still need to disclose it again when applying for another license. </w:t>
      </w:r>
    </w:p>
    <w:p w:rsidR="0027384A" w:rsidRPr="00773380" w:rsidRDefault="0027384A" w:rsidP="00F4776A">
      <w:pPr>
        <w:spacing w:after="0"/>
        <w:rPr>
          <w:b/>
        </w:rPr>
      </w:pPr>
      <w:r w:rsidRPr="00773380">
        <w:rPr>
          <w:b/>
        </w:rPr>
        <w:t>If you:</w:t>
      </w:r>
    </w:p>
    <w:p w:rsidR="0027384A" w:rsidRPr="00773380" w:rsidRDefault="0027384A" w:rsidP="0027384A">
      <w:pPr>
        <w:numPr>
          <w:ilvl w:val="0"/>
          <w:numId w:val="5"/>
        </w:numPr>
        <w:spacing w:after="0" w:line="240" w:lineRule="auto"/>
        <w:rPr>
          <w:b/>
        </w:rPr>
      </w:pPr>
      <w:proofErr w:type="gramStart"/>
      <w:r w:rsidRPr="00773380">
        <w:rPr>
          <w:b/>
        </w:rPr>
        <w:t>assume</w:t>
      </w:r>
      <w:proofErr w:type="gramEnd"/>
      <w:r w:rsidRPr="00773380">
        <w:rPr>
          <w:b/>
        </w:rPr>
        <w:t xml:space="preserve"> or have been told your diversion took the crime off your record – IT DOES NOT.</w:t>
      </w:r>
    </w:p>
    <w:p w:rsidR="0027384A" w:rsidRPr="00773380" w:rsidRDefault="0027384A" w:rsidP="0027384A">
      <w:pPr>
        <w:numPr>
          <w:ilvl w:val="0"/>
          <w:numId w:val="5"/>
        </w:numPr>
        <w:spacing w:after="0" w:line="240" w:lineRule="auto"/>
        <w:rPr>
          <w:b/>
        </w:rPr>
      </w:pPr>
      <w:proofErr w:type="gramStart"/>
      <w:r w:rsidRPr="00773380">
        <w:rPr>
          <w:b/>
        </w:rPr>
        <w:t>are</w:t>
      </w:r>
      <w:proofErr w:type="gramEnd"/>
      <w:r w:rsidRPr="00773380">
        <w:rPr>
          <w:b/>
        </w:rPr>
        <w:t xml:space="preserve"> “not sure” whether you had something expunged, YOU DID NOT.</w:t>
      </w:r>
    </w:p>
    <w:p w:rsidR="0027384A" w:rsidRPr="00773380" w:rsidRDefault="0027384A" w:rsidP="0027384A">
      <w:pPr>
        <w:numPr>
          <w:ilvl w:val="0"/>
          <w:numId w:val="5"/>
        </w:numPr>
        <w:spacing w:after="0" w:line="240" w:lineRule="auto"/>
        <w:rPr>
          <w:b/>
        </w:rPr>
      </w:pPr>
      <w:proofErr w:type="gramStart"/>
      <w:r w:rsidRPr="00773380">
        <w:rPr>
          <w:b/>
        </w:rPr>
        <w:t>assume</w:t>
      </w:r>
      <w:proofErr w:type="gramEnd"/>
      <w:r w:rsidRPr="00773380">
        <w:rPr>
          <w:b/>
        </w:rPr>
        <w:t xml:space="preserve"> you don’t have to report it because you were a juvenile – YOU MUST REPORT IT.</w:t>
      </w:r>
    </w:p>
    <w:p w:rsidR="0027384A" w:rsidRPr="00773380" w:rsidRDefault="009960BB" w:rsidP="0027384A">
      <w:pPr>
        <w:numPr>
          <w:ilvl w:val="0"/>
          <w:numId w:val="5"/>
        </w:num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34DC00" wp14:editId="48E8B3DB">
                <wp:simplePos x="0" y="0"/>
                <wp:positionH relativeFrom="margin">
                  <wp:posOffset>-304800</wp:posOffset>
                </wp:positionH>
                <wp:positionV relativeFrom="paragraph">
                  <wp:posOffset>410845</wp:posOffset>
                </wp:positionV>
                <wp:extent cx="6499860" cy="6271260"/>
                <wp:effectExtent l="0" t="0" r="1524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627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BB" w:rsidRDefault="009960BB" w:rsidP="009960B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338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Expungement</w:t>
                            </w:r>
                          </w:p>
                          <w:p w:rsidR="009960BB" w:rsidRDefault="009960BB" w:rsidP="009960BB">
                            <w:r>
                              <w:t xml:space="preserve">An </w:t>
                            </w:r>
                            <w:r>
                              <w:rPr>
                                <w:b/>
                                <w:bCs/>
                              </w:rPr>
                              <w:t>expungement</w:t>
                            </w:r>
                            <w:r>
                              <w:t xml:space="preserve"> proceeding is a type of </w:t>
                            </w:r>
                            <w:hyperlink r:id="rId9" w:tooltip="Lawsuit" w:history="1">
                              <w:r w:rsidRPr="00773380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lawsuit</w:t>
                              </w:r>
                            </w:hyperlink>
                            <w:r w:rsidRPr="00773380">
                              <w:rPr>
                                <w:i/>
                              </w:rPr>
                              <w:t xml:space="preserve"> </w:t>
                            </w:r>
                            <w:r w:rsidRPr="00773380">
                              <w:t>in</w:t>
                            </w:r>
                            <w:r>
                              <w:t xml:space="preserve"> which a first time offender of a prior </w:t>
                            </w:r>
                            <w:hyperlink r:id="rId10" w:tooltip="Criminal law" w:history="1">
                              <w:r w:rsidRPr="00F4776A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criminal</w:t>
                              </w:r>
                            </w:hyperlink>
                            <w:r w:rsidRPr="00F4776A">
                              <w:t xml:space="preserve"> </w:t>
                            </w:r>
                            <w:r>
                              <w:t xml:space="preserve">conviction seeks that the records of that earlier process be </w:t>
                            </w:r>
                            <w:hyperlink r:id="rId11" w:tooltip="Record sealing" w:history="1">
                              <w:r w:rsidRPr="00F4776A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sealed</w:t>
                              </w:r>
                            </w:hyperlink>
                            <w:r>
                              <w:t>, making the records unavailable through the state or Federal repositories. If successful, the records are said to be "expunged".</w:t>
                            </w:r>
                          </w:p>
                          <w:p w:rsidR="009960BB" w:rsidRPr="00F4776A" w:rsidRDefault="009960BB" w:rsidP="009960BB">
                            <w:pPr>
                              <w:spacing w:before="100" w:beforeAutospacing="1" w:after="0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Requirements often include one or more of the following: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Fulfilling a waiting period between the incident and expungement;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Having no intervening incidents;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Having no more than a specified number of prior incidents;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That the conviction be of a nature not considered to be too serious;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That all terms of the sentence be completely fulfilled;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That no proceedings be pending;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That the incident was disposed without a conviction; and</w:t>
                            </w:r>
                          </w:p>
                          <w:p w:rsidR="009960BB" w:rsidRPr="00F4776A" w:rsidRDefault="009960BB" w:rsidP="009960BB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F4776A">
                              <w:rPr>
                                <w:rFonts w:eastAsia="Times New Roman" w:cs="Times New Roman"/>
                              </w:rPr>
                              <w:t>That the petitioner complete probation without any incidents.</w:t>
                            </w:r>
                          </w:p>
                          <w:p w:rsidR="009960BB" w:rsidRDefault="009960BB" w:rsidP="009960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Time limits set by statute</w:t>
                            </w:r>
                          </w:p>
                          <w:p w:rsidR="009960BB" w:rsidRDefault="009960BB" w:rsidP="009960B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3 years or 5 years, depending on the offense</w:t>
                            </w:r>
                          </w:p>
                          <w:p w:rsidR="009960BB" w:rsidRDefault="009960BB" w:rsidP="009960B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DUI = 10 years</w:t>
                            </w:r>
                          </w:p>
                          <w:p w:rsidR="009960BB" w:rsidRDefault="009960BB" w:rsidP="009960B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Time starts when the sentence, probation or diversion ends</w:t>
                            </w:r>
                          </w:p>
                          <w:p w:rsidR="009960BB" w:rsidRDefault="009960BB" w:rsidP="009960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Almost always handled by the court of origin</w:t>
                            </w:r>
                          </w:p>
                          <w:p w:rsidR="009960BB" w:rsidRDefault="009960BB" w:rsidP="009960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If expunged, “petitioner shall be treated as not having been arrested, convicted, or diverted of the crime, expect that…”</w:t>
                            </w:r>
                          </w:p>
                          <w:p w:rsidR="009960BB" w:rsidRPr="0027384A" w:rsidRDefault="009960BB" w:rsidP="009960BB">
                            <w:pPr>
                              <w:rPr>
                                <w:b/>
                                <w:i/>
                              </w:rPr>
                            </w:pPr>
                            <w:r w:rsidRPr="0027384A">
                              <w:rPr>
                                <w:b/>
                                <w:i/>
                              </w:rPr>
                              <w:t>Advice about getting a record expunged:</w:t>
                            </w:r>
                          </w:p>
                          <w:p w:rsidR="009960BB" w:rsidRPr="00692F2F" w:rsidRDefault="009960BB" w:rsidP="009960B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692F2F">
                              <w:t>it’s a fairly simple process that may not require a lawyer;</w:t>
                            </w:r>
                          </w:p>
                          <w:p w:rsidR="009960BB" w:rsidRPr="00692F2F" w:rsidRDefault="009960BB" w:rsidP="009960B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692F2F">
                              <w:t>can take 4-6 weeks to complete;</w:t>
                            </w:r>
                          </w:p>
                          <w:p w:rsidR="009960BB" w:rsidRPr="00692F2F" w:rsidRDefault="009960BB" w:rsidP="009960B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692F2F">
                              <w:t>start by contacting the court (county or municipal) where the conviction/diversion occurred OR look for the paperwork on the court website;</w:t>
                            </w:r>
                          </w:p>
                          <w:p w:rsidR="009960BB" w:rsidRPr="00692F2F" w:rsidRDefault="009960BB" w:rsidP="009960B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692F2F">
                              <w:t>check to make sure of the time required for an expungement to be completed;</w:t>
                            </w:r>
                          </w:p>
                          <w:p w:rsidR="009960BB" w:rsidRPr="00692F2F" w:rsidRDefault="009960BB" w:rsidP="009960B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692F2F">
                              <w:t>if it can be completed well before you apply for a license, DO IT NOW;</w:t>
                            </w:r>
                          </w:p>
                          <w:p w:rsidR="009960BB" w:rsidRPr="00692F2F" w:rsidRDefault="009960BB" w:rsidP="009960B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692F2F">
                              <w:t>if it cannot be completed before you apply, REPORT IT on your license application;</w:t>
                            </w:r>
                          </w:p>
                          <w:p w:rsidR="009960BB" w:rsidRPr="00692F2F" w:rsidRDefault="009960BB" w:rsidP="009960B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 w:rsidRPr="00692F2F">
                              <w:rPr>
                                <w:b/>
                              </w:rPr>
                              <w:t>an</w:t>
                            </w:r>
                            <w:proofErr w:type="gramEnd"/>
                            <w:r w:rsidRPr="00692F2F">
                              <w:rPr>
                                <w:b/>
                              </w:rPr>
                              <w:t xml:space="preserve"> expungement can benefit you in more ways than just your license application!</w:t>
                            </w:r>
                          </w:p>
                          <w:p w:rsidR="009960BB" w:rsidRDefault="009960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34DC00" id="_x0000_s1028" type="#_x0000_t202" style="position:absolute;left:0;text-align:left;margin-left:-24pt;margin-top:32.35pt;width:511.8pt;height:49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" strokeweight="1.75pt">
                <v:stroke linestyle="thinThin"/>
                <v:textbox>
                  <w:txbxContent>
                    <w:p w:rsidR="009960BB" w:rsidRDefault="009960BB" w:rsidP="009960B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73380">
                        <w:rPr>
                          <w:b/>
                          <w:sz w:val="28"/>
                          <w:szCs w:val="28"/>
                          <w:u w:val="single"/>
                        </w:rPr>
                        <w:t>Expungement</w:t>
                      </w:r>
                    </w:p>
                    <w:p w:rsidR="009960BB" w:rsidRDefault="009960BB" w:rsidP="009960BB">
                      <w:r>
                        <w:t xml:space="preserve">An </w:t>
                      </w:r>
                      <w:r>
                        <w:rPr>
                          <w:b/>
                          <w:bCs/>
                        </w:rPr>
                        <w:t>expungement</w:t>
                      </w:r>
                      <w:r>
                        <w:t xml:space="preserve"> proceeding is a type of </w:t>
                      </w:r>
                      <w:hyperlink r:id="rId12" w:tooltip="Lawsuit" w:history="1">
                        <w:r w:rsidRPr="00773380">
                          <w:rPr>
                            <w:rStyle w:val="Hyperlink"/>
                            <w:color w:val="auto"/>
                            <w:u w:val="none"/>
                          </w:rPr>
                          <w:t>lawsuit</w:t>
                        </w:r>
                      </w:hyperlink>
                      <w:r w:rsidRPr="00773380">
                        <w:rPr>
                          <w:i/>
                        </w:rPr>
                        <w:t xml:space="preserve"> </w:t>
                      </w:r>
                      <w:r w:rsidRPr="00773380">
                        <w:t>in</w:t>
                      </w:r>
                      <w:r>
                        <w:t xml:space="preserve"> which a first time offender of a prior </w:t>
                      </w:r>
                      <w:hyperlink r:id="rId13" w:tooltip="Criminal law" w:history="1">
                        <w:r w:rsidRPr="00F4776A">
                          <w:rPr>
                            <w:rStyle w:val="Hyperlink"/>
                            <w:color w:val="auto"/>
                            <w:u w:val="none"/>
                          </w:rPr>
                          <w:t>criminal</w:t>
                        </w:r>
                      </w:hyperlink>
                      <w:r w:rsidRPr="00F4776A">
                        <w:t xml:space="preserve"> </w:t>
                      </w:r>
                      <w:r>
                        <w:t xml:space="preserve">conviction seeks that the records of that earlier process be </w:t>
                      </w:r>
                      <w:hyperlink r:id="rId14" w:tooltip="Record sealing" w:history="1">
                        <w:r w:rsidRPr="00F4776A">
                          <w:rPr>
                            <w:rStyle w:val="Hyperlink"/>
                            <w:color w:val="auto"/>
                            <w:u w:val="none"/>
                          </w:rPr>
                          <w:t>sealed</w:t>
                        </w:r>
                      </w:hyperlink>
                      <w:r>
                        <w:t>, making the records unavailable through the state or Federal repositories. If successful, the records are said to be "expunged".</w:t>
                      </w:r>
                    </w:p>
                    <w:p w:rsidR="009960BB" w:rsidRPr="00F4776A" w:rsidRDefault="009960BB" w:rsidP="009960BB">
                      <w:pPr>
                        <w:spacing w:before="100" w:beforeAutospacing="1" w:after="0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Requirements often include one or more of the following: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Fulfilling a waiting period between the incident and expungement;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Having no intervening incidents;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Having no more than a specified number of prior incidents;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That the conviction be of a nature not considered to be too serious;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That all terms of the sentence be completely fulfilled;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That no proceedings be pending;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That the incident was disposed without a conviction; and</w:t>
                      </w:r>
                    </w:p>
                    <w:p w:rsidR="009960BB" w:rsidRPr="00F4776A" w:rsidRDefault="009960BB" w:rsidP="009960BB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F4776A">
                        <w:rPr>
                          <w:rFonts w:eastAsia="Times New Roman" w:cs="Times New Roman"/>
                        </w:rPr>
                        <w:t>That the petitioner complete probation without any incidents.</w:t>
                      </w:r>
                    </w:p>
                    <w:p w:rsidR="009960BB" w:rsidRDefault="009960BB" w:rsidP="009960BB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Time limits set by statute</w:t>
                      </w:r>
                    </w:p>
                    <w:p w:rsidR="009960BB" w:rsidRDefault="009960BB" w:rsidP="009960BB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>
                        <w:t>3 years or 5 years, depending on the offense</w:t>
                      </w:r>
                    </w:p>
                    <w:p w:rsidR="009960BB" w:rsidRDefault="009960BB" w:rsidP="009960BB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>
                        <w:t>DUI = 10 years</w:t>
                      </w:r>
                    </w:p>
                    <w:p w:rsidR="009960BB" w:rsidRDefault="009960BB" w:rsidP="009960BB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>
                        <w:t>Time starts when the sentence, probation or diversion ends</w:t>
                      </w:r>
                    </w:p>
                    <w:p w:rsidR="009960BB" w:rsidRDefault="009960BB" w:rsidP="009960BB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Almost always handled by the court of origin</w:t>
                      </w:r>
                    </w:p>
                    <w:p w:rsidR="009960BB" w:rsidRDefault="009960BB" w:rsidP="009960BB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If expunged, “petitioner shall be treated as not having been arrested, convicted, or diverted of the crime, expect that…”</w:t>
                      </w:r>
                    </w:p>
                    <w:p w:rsidR="009960BB" w:rsidRPr="0027384A" w:rsidRDefault="009960BB" w:rsidP="009960BB">
                      <w:pPr>
                        <w:rPr>
                          <w:b/>
                          <w:i/>
                        </w:rPr>
                      </w:pPr>
                      <w:r w:rsidRPr="0027384A">
                        <w:rPr>
                          <w:b/>
                          <w:i/>
                        </w:rPr>
                        <w:t>Advice about getting a record expunged:</w:t>
                      </w:r>
                    </w:p>
                    <w:p w:rsidR="009960BB" w:rsidRPr="00692F2F" w:rsidRDefault="009960BB" w:rsidP="009960B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692F2F">
                        <w:t>it’s a fairly simple process that may not require a lawyer;</w:t>
                      </w:r>
                    </w:p>
                    <w:p w:rsidR="009960BB" w:rsidRPr="00692F2F" w:rsidRDefault="009960BB" w:rsidP="009960B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692F2F">
                        <w:t>can take 4-6 weeks to complete;</w:t>
                      </w:r>
                    </w:p>
                    <w:p w:rsidR="009960BB" w:rsidRPr="00692F2F" w:rsidRDefault="009960BB" w:rsidP="009960B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692F2F">
                        <w:t>start by contacting the court (county or municipal) where the conviction/diversion occurred OR look for the paperwork on the court website;</w:t>
                      </w:r>
                    </w:p>
                    <w:p w:rsidR="009960BB" w:rsidRPr="00692F2F" w:rsidRDefault="009960BB" w:rsidP="009960B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692F2F">
                        <w:t>check to make sure of the time required for an expungement to be completed;</w:t>
                      </w:r>
                    </w:p>
                    <w:p w:rsidR="009960BB" w:rsidRPr="00692F2F" w:rsidRDefault="009960BB" w:rsidP="009960B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692F2F">
                        <w:t>if it can be completed well before you apply for a license, DO IT NOW;</w:t>
                      </w:r>
                    </w:p>
                    <w:p w:rsidR="009960BB" w:rsidRPr="00692F2F" w:rsidRDefault="009960BB" w:rsidP="009960B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692F2F">
                        <w:t>if it cannot be completed before you apply, REPORT IT on your license application;</w:t>
                      </w:r>
                    </w:p>
                    <w:p w:rsidR="009960BB" w:rsidRPr="00692F2F" w:rsidRDefault="009960BB" w:rsidP="009960B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692F2F">
                        <w:rPr>
                          <w:b/>
                        </w:rPr>
                        <w:t>an expungement can benefit you in more ways than just your license application!</w:t>
                      </w:r>
                    </w:p>
                    <w:p w:rsidR="009960BB" w:rsidRDefault="009960BB"/>
                  </w:txbxContent>
                </v:textbox>
                <w10:wrap type="square" anchorx="margin"/>
              </v:shape>
            </w:pict>
          </mc:Fallback>
        </mc:AlternateContent>
      </w:r>
      <w:r w:rsidR="0027384A" w:rsidRPr="00773380">
        <w:rPr>
          <w:b/>
        </w:rPr>
        <w:t>“</w:t>
      </w:r>
      <w:proofErr w:type="gramStart"/>
      <w:r w:rsidR="0027384A" w:rsidRPr="00773380">
        <w:rPr>
          <w:b/>
        </w:rPr>
        <w:t>forget</w:t>
      </w:r>
      <w:proofErr w:type="gramEnd"/>
      <w:r w:rsidR="0027384A" w:rsidRPr="00773380">
        <w:rPr>
          <w:b/>
        </w:rPr>
        <w:t>” your past record and you don’t reveal it, this is considered dishonesty and creates another issue with KSDE who will aggressively review your case.  DO NOT LIE.</w:t>
      </w:r>
    </w:p>
    <w:p w:rsidR="009960BB" w:rsidRDefault="009960BB" w:rsidP="00556225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36"/>
          <w:szCs w:val="36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36"/>
          <w:szCs w:val="36"/>
        </w:rPr>
        <w:lastRenderedPageBreak/>
        <w:t>KSDE REGULATION</w:t>
      </w:r>
    </w:p>
    <w:p w:rsidR="009960BB" w:rsidRDefault="009960BB" w:rsidP="00556225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36"/>
          <w:szCs w:val="36"/>
        </w:rPr>
      </w:pPr>
    </w:p>
    <w:p w:rsidR="00556225" w:rsidRDefault="00556225" w:rsidP="00556225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36"/>
          <w:szCs w:val="36"/>
        </w:rPr>
      </w:pPr>
      <w:r w:rsidRPr="00556225">
        <w:rPr>
          <w:rFonts w:ascii="Arial" w:eastAsiaTheme="minorEastAsia" w:hAnsi="Arial" w:cs="Arial"/>
          <w:b/>
          <w:bCs/>
          <w:color w:val="000000" w:themeColor="text1"/>
          <w:kern w:val="24"/>
          <w:sz w:val="36"/>
          <w:szCs w:val="36"/>
        </w:rPr>
        <w:t>91-22-1a. Denial, suspension, or revocation of license; public censure; grounds; report.</w:t>
      </w:r>
    </w:p>
    <w:p w:rsidR="00556225" w:rsidRDefault="00556225" w:rsidP="00556225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36"/>
          <w:szCs w:val="36"/>
        </w:rPr>
      </w:pP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Any license issued by the state board may be suspended or revoked, or the license holder may be publicly censured by the state board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u w:val="single"/>
        </w:rPr>
        <w:t>for misconduct or other just cause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, including any of the following:</w:t>
      </w:r>
    </w:p>
    <w:p w:rsidR="00556225" w:rsidRDefault="00556225" w:rsidP="00556225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(1)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conviction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of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any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crime punishable as a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felony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(2)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conviction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of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any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crime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involving a minor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;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(3)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conviction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of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any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misdemeanor involving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theft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;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(4)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conviction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of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any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misdemeanor involving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drug-related conduct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;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(5)</w:t>
      </w:r>
      <w:r w:rsidR="00872EBB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conviction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of any act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defined in any section of article </w:t>
      </w:r>
      <w:r w:rsidRPr="00556225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36 of chapter 21 of the Kansas statutes annotated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; --  </w:t>
      </w:r>
      <w:proofErr w:type="spell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Bigomy</w:t>
      </w:r>
      <w:proofErr w:type="spell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, Incest, Abandonment, Nonsupport, Endangering a Child, Furnishing Alcohol to a Minor, Contributing to Child Misconduct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(6)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conviction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of an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attempt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under K.S.A. 21-3301, and amendments thereto, to commit any act specified in this subsection;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(7)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commission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or omission of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any act that injures the health or welfare of a minor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through physical or sexual abuse or exploitation;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(8)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engaging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 in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 xml:space="preserve">any sexual activity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with a student;</w:t>
      </w:r>
    </w:p>
    <w:p w:rsidR="00556225" w:rsidRDefault="00556225" w:rsidP="00556225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(9)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 xml:space="preserve">breach of an employment contract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with an education agency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by abandonment of the position;</w:t>
      </w:r>
    </w:p>
    <w:p w:rsidR="00556225" w:rsidRPr="00556225" w:rsidRDefault="00556225" w:rsidP="005562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Times New Roman" w:eastAsia="Times New Roman" w:hAnsi="Times New Roman" w:cs="Times New Roman"/>
          <w:sz w:val="24"/>
          <w:szCs w:val="24"/>
        </w:rPr>
        <w:t>Contracts bind both teachers and board of education; suspension of license;</w:t>
      </w:r>
    </w:p>
    <w:p w:rsidR="00556225" w:rsidRPr="00556225" w:rsidRDefault="00556225" w:rsidP="005562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Times New Roman" w:eastAsia="Times New Roman" w:hAnsi="Times New Roman" w:cs="Times New Roman"/>
          <w:sz w:val="24"/>
          <w:szCs w:val="24"/>
        </w:rPr>
        <w:t xml:space="preserve">“If upon </w:t>
      </w:r>
      <w:r w:rsidRPr="00556225">
        <w:rPr>
          <w:rFonts w:ascii="Times New Roman" w:eastAsia="Times New Roman" w:hAnsi="Times New Roman" w:cs="Times New Roman"/>
          <w:sz w:val="24"/>
          <w:szCs w:val="24"/>
          <w:u w:val="single"/>
        </w:rPr>
        <w:t>written complaint, signed by 2/3</w:t>
      </w:r>
      <w:r w:rsidRPr="00556225">
        <w:rPr>
          <w:rFonts w:ascii="Times New Roman" w:eastAsia="Times New Roman" w:hAnsi="Times New Roman" w:cs="Times New Roman"/>
          <w:sz w:val="24"/>
          <w:szCs w:val="24"/>
        </w:rPr>
        <w:t xml:space="preserve"> of the members of the </w:t>
      </w:r>
      <w:r w:rsidRPr="00556225">
        <w:rPr>
          <w:rFonts w:ascii="Times New Roman" w:eastAsia="Times New Roman" w:hAnsi="Times New Roman" w:cs="Times New Roman"/>
          <w:sz w:val="24"/>
          <w:szCs w:val="24"/>
          <w:u w:val="single"/>
        </w:rPr>
        <w:t>board of education of the school district</w:t>
      </w:r>
      <w:r w:rsidRPr="005562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2EBB">
        <w:rPr>
          <w:rFonts w:ascii="Times New Roman" w:eastAsia="Times New Roman" w:hAnsi="Times New Roman" w:cs="Times New Roman"/>
          <w:sz w:val="24"/>
          <w:szCs w:val="24"/>
          <w:highlight w:val="yellow"/>
        </w:rPr>
        <w:t>any teacher who is reported to have entered into a contract with another school or board of education without having been released from such former contract, or for other reasons fails to fulfill the provisions of such contract,</w:t>
      </w:r>
      <w:r w:rsidRPr="00556225">
        <w:rPr>
          <w:rFonts w:ascii="Times New Roman" w:eastAsia="Times New Roman" w:hAnsi="Times New Roman" w:cs="Times New Roman"/>
          <w:sz w:val="24"/>
          <w:szCs w:val="24"/>
        </w:rPr>
        <w:t xml:space="preserve"> such teacher, </w:t>
      </w:r>
      <w:r w:rsidRPr="00556225">
        <w:rPr>
          <w:rFonts w:ascii="Times New Roman" w:eastAsia="Times New Roman" w:hAnsi="Times New Roman" w:cs="Times New Roman"/>
          <w:sz w:val="24"/>
          <w:szCs w:val="24"/>
          <w:u w:val="single"/>
        </w:rPr>
        <w:t>upon being found guilty of such charge at a hearing held before the state board of education</w:t>
      </w:r>
      <w:r w:rsidRPr="005562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6225">
        <w:rPr>
          <w:rFonts w:ascii="Times New Roman" w:eastAsia="Times New Roman" w:hAnsi="Times New Roman" w:cs="Times New Roman"/>
          <w:sz w:val="24"/>
          <w:szCs w:val="24"/>
          <w:u w:val="single"/>
        </w:rPr>
        <w:t>shall have such teacher's license suspended for the remainder of the term for which such contract was made</w:t>
      </w:r>
      <w:r w:rsidRPr="00556225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225" w:rsidRPr="00872EBB" w:rsidRDefault="00556225" w:rsidP="00556225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(10) conduct resulting in a finding of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 xml:space="preserve">contempt of court in a child support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proceeding;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(11)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>entry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  <w:u w:val="single"/>
        </w:rPr>
        <w:t xml:space="preserve"> into a criminal diversion agreement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u w:val="single"/>
        </w:rPr>
        <w:t xml:space="preserve"> 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after being charged with any offense or act described in this subsection;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-- </w:t>
      </w:r>
      <w:r w:rsidRPr="00556225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Diversion for ANY OFFENSE – this includes Juvenile charges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(12)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obtaining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, or attempting to obtain, a license by fraudulent means or through misrepresentation of material facts</w:t>
      </w: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; or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-- </w:t>
      </w:r>
      <w:r w:rsidRPr="00556225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Filling out the application incorrectly, failing to disclose may be perceived as a misrepresentation</w:t>
      </w:r>
    </w:p>
    <w:p w:rsidR="00556225" w:rsidRPr="00556225" w:rsidRDefault="00556225" w:rsidP="005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 xml:space="preserve">(13) </w:t>
      </w:r>
      <w:proofErr w:type="gramStart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denial</w:t>
      </w:r>
      <w:proofErr w:type="gramEnd"/>
      <w:r w:rsidRPr="005562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highlight w:val="yellow"/>
        </w:rPr>
        <w:t>, revocation, cancellation, or suspension of a license in another state on grounds similar to any of the grounds described in this subsection.</w:t>
      </w:r>
    </w:p>
    <w:p w:rsidR="00556225" w:rsidRDefault="00556225"/>
    <w:p w:rsidR="00872EBB" w:rsidRDefault="00872EBB">
      <w:r>
        <w:br w:type="page"/>
      </w:r>
    </w:p>
    <w:p w:rsidR="00DF7C98" w:rsidRDefault="00F4776A" w:rsidP="00DF7C98">
      <w:r w:rsidRPr="00DF7C9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4A185AE" wp14:editId="239256C7">
            <wp:simplePos x="0" y="0"/>
            <wp:positionH relativeFrom="margin">
              <wp:posOffset>-152400</wp:posOffset>
            </wp:positionH>
            <wp:positionV relativeFrom="paragraph">
              <wp:posOffset>1287780</wp:posOffset>
            </wp:positionV>
            <wp:extent cx="5943600" cy="4342130"/>
            <wp:effectExtent l="0" t="0" r="0" b="127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C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D0A8D" wp14:editId="2E0A992B">
                <wp:simplePos x="0" y="0"/>
                <wp:positionH relativeFrom="column">
                  <wp:posOffset>-617220</wp:posOffset>
                </wp:positionH>
                <wp:positionV relativeFrom="paragraph">
                  <wp:posOffset>-701040</wp:posOffset>
                </wp:positionV>
                <wp:extent cx="7078980" cy="2217420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980" cy="2217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76A" w:rsidRDefault="00F4776A" w:rsidP="00DF7C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F4776A" w:rsidRDefault="00F4776A" w:rsidP="00DF7C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556225" w:rsidRDefault="00DF7C98" w:rsidP="00DF7C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Statutory Restrictions on Issuanc</w:t>
                            </w:r>
                            <w:r w:rsidR="00746AE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:rsidR="00DF7C98" w:rsidRDefault="00DF7C98" w:rsidP="00DF7C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Renewal of Licenses  K.S.A. 72-1397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7D0A8D" id="TextBox 10" o:spid="_x0000_s1027" type="#_x0000_t202" style="position:absolute;margin-left:-48.6pt;margin-top:-55.2pt;width:557.4pt;height:1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" filled="f" stroked="f">
                <v:textbox>
                  <w:txbxContent>
                    <w:p w:rsidR="00F4776A" w:rsidRDefault="00F4776A" w:rsidP="00DF7C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F4776A" w:rsidRDefault="00F4776A" w:rsidP="00DF7C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556225" w:rsidRDefault="00DF7C98" w:rsidP="00DF7C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Statutory Restrictions on Issuanc</w:t>
                      </w:r>
                      <w:r w:rsidR="00746AE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e</w:t>
                      </w:r>
                    </w:p>
                    <w:p w:rsidR="00DF7C98" w:rsidRDefault="00DF7C98" w:rsidP="00DF7C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and Renewal of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Licenses  K.S.A.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72-1397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7C98" w:rsidSect="007733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320"/>
    <w:multiLevelType w:val="hybridMultilevel"/>
    <w:tmpl w:val="6C465496"/>
    <w:lvl w:ilvl="0" w:tplc="833638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6AAE1E0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DC5E82FA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1C9876D8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9B4EAA08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A99C7942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4B5EC08C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5CFA447E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E0B29A7E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BC161A6"/>
    <w:multiLevelType w:val="hybridMultilevel"/>
    <w:tmpl w:val="C1961020"/>
    <w:lvl w:ilvl="0" w:tplc="0A5022F0">
      <w:start w:val="1"/>
      <w:numFmt w:val="decimal"/>
      <w:lvlText w:val="(%1)"/>
      <w:lvlJc w:val="left"/>
      <w:pPr>
        <w:tabs>
          <w:tab w:val="num" w:pos="533"/>
        </w:tabs>
        <w:ind w:left="533" w:hanging="360"/>
      </w:pPr>
    </w:lvl>
    <w:lvl w:ilvl="1" w:tplc="A276F610" w:tentative="1">
      <w:start w:val="1"/>
      <w:numFmt w:val="decimal"/>
      <w:lvlText w:val="(%2)"/>
      <w:lvlJc w:val="left"/>
      <w:pPr>
        <w:tabs>
          <w:tab w:val="num" w:pos="1253"/>
        </w:tabs>
        <w:ind w:left="1253" w:hanging="360"/>
      </w:pPr>
    </w:lvl>
    <w:lvl w:ilvl="2" w:tplc="459CEFF6" w:tentative="1">
      <w:start w:val="1"/>
      <w:numFmt w:val="decimal"/>
      <w:lvlText w:val="(%3)"/>
      <w:lvlJc w:val="left"/>
      <w:pPr>
        <w:tabs>
          <w:tab w:val="num" w:pos="1973"/>
        </w:tabs>
        <w:ind w:left="1973" w:hanging="360"/>
      </w:pPr>
    </w:lvl>
    <w:lvl w:ilvl="3" w:tplc="422ABCD2" w:tentative="1">
      <w:start w:val="1"/>
      <w:numFmt w:val="decimal"/>
      <w:lvlText w:val="(%4)"/>
      <w:lvlJc w:val="left"/>
      <w:pPr>
        <w:tabs>
          <w:tab w:val="num" w:pos="2693"/>
        </w:tabs>
        <w:ind w:left="2693" w:hanging="360"/>
      </w:pPr>
    </w:lvl>
    <w:lvl w:ilvl="4" w:tplc="5AF4DE72" w:tentative="1">
      <w:start w:val="1"/>
      <w:numFmt w:val="decimal"/>
      <w:lvlText w:val="(%5)"/>
      <w:lvlJc w:val="left"/>
      <w:pPr>
        <w:tabs>
          <w:tab w:val="num" w:pos="3413"/>
        </w:tabs>
        <w:ind w:left="3413" w:hanging="360"/>
      </w:pPr>
    </w:lvl>
    <w:lvl w:ilvl="5" w:tplc="6FEE5AD8" w:tentative="1">
      <w:start w:val="1"/>
      <w:numFmt w:val="decimal"/>
      <w:lvlText w:val="(%6)"/>
      <w:lvlJc w:val="left"/>
      <w:pPr>
        <w:tabs>
          <w:tab w:val="num" w:pos="4133"/>
        </w:tabs>
        <w:ind w:left="4133" w:hanging="360"/>
      </w:pPr>
    </w:lvl>
    <w:lvl w:ilvl="6" w:tplc="81F07B46" w:tentative="1">
      <w:start w:val="1"/>
      <w:numFmt w:val="decimal"/>
      <w:lvlText w:val="(%7)"/>
      <w:lvlJc w:val="left"/>
      <w:pPr>
        <w:tabs>
          <w:tab w:val="num" w:pos="4853"/>
        </w:tabs>
        <w:ind w:left="4853" w:hanging="360"/>
      </w:pPr>
    </w:lvl>
    <w:lvl w:ilvl="7" w:tplc="CAB05238" w:tentative="1">
      <w:start w:val="1"/>
      <w:numFmt w:val="decimal"/>
      <w:lvlText w:val="(%8)"/>
      <w:lvlJc w:val="left"/>
      <w:pPr>
        <w:tabs>
          <w:tab w:val="num" w:pos="5573"/>
        </w:tabs>
        <w:ind w:left="5573" w:hanging="360"/>
      </w:pPr>
    </w:lvl>
    <w:lvl w:ilvl="8" w:tplc="8A02D326" w:tentative="1">
      <w:start w:val="1"/>
      <w:numFmt w:val="decimal"/>
      <w:lvlText w:val="(%9)"/>
      <w:lvlJc w:val="left"/>
      <w:pPr>
        <w:tabs>
          <w:tab w:val="num" w:pos="6293"/>
        </w:tabs>
        <w:ind w:left="6293" w:hanging="360"/>
      </w:pPr>
    </w:lvl>
  </w:abstractNum>
  <w:abstractNum w:abstractNumId="2" w15:restartNumberingAfterBreak="0">
    <w:nsid w:val="251261C7"/>
    <w:multiLevelType w:val="hybridMultilevel"/>
    <w:tmpl w:val="9D24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0AA4"/>
    <w:multiLevelType w:val="hybridMultilevel"/>
    <w:tmpl w:val="F09A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93697"/>
    <w:multiLevelType w:val="hybridMultilevel"/>
    <w:tmpl w:val="4BA43E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548F8"/>
    <w:multiLevelType w:val="hybridMultilevel"/>
    <w:tmpl w:val="41129CD2"/>
    <w:lvl w:ilvl="0" w:tplc="9800A8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D75EC"/>
    <w:multiLevelType w:val="hybridMultilevel"/>
    <w:tmpl w:val="90C42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714B6"/>
    <w:multiLevelType w:val="hybridMultilevel"/>
    <w:tmpl w:val="78FE22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6A0382"/>
    <w:multiLevelType w:val="multilevel"/>
    <w:tmpl w:val="9EE2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9B"/>
    <w:rsid w:val="0027384A"/>
    <w:rsid w:val="00357DD4"/>
    <w:rsid w:val="0052539B"/>
    <w:rsid w:val="00556225"/>
    <w:rsid w:val="00746AE9"/>
    <w:rsid w:val="00773380"/>
    <w:rsid w:val="00872EBB"/>
    <w:rsid w:val="00985C01"/>
    <w:rsid w:val="009960BB"/>
    <w:rsid w:val="00A8592D"/>
    <w:rsid w:val="00B57690"/>
    <w:rsid w:val="00DF7C98"/>
    <w:rsid w:val="00F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0466C-3EB1-4275-AFCE-8451BB60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3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C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3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oers@ksde.org" TargetMode="External"/><Relationship Id="rId13" Type="http://schemas.openxmlformats.org/officeDocument/2006/relationships/hyperlink" Target="https://en.wikipedia.org/wiki/Criminal_la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chuckm@fhsu.edu" TargetMode="External"/><Relationship Id="rId12" Type="http://schemas.openxmlformats.org/officeDocument/2006/relationships/hyperlink" Target="https://en.wikipedia.org/wiki/Lawsu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broers@ksde.org" TargetMode="External"/><Relationship Id="rId11" Type="http://schemas.openxmlformats.org/officeDocument/2006/relationships/hyperlink" Target="https://en.wikipedia.org/wiki/Record_sealing" TargetMode="External"/><Relationship Id="rId5" Type="http://schemas.openxmlformats.org/officeDocument/2006/relationships/hyperlink" Target="mailto:kschuckm@fhsu.edu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en.wikipedia.org/wiki/Criminal_l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awsuit" TargetMode="External"/><Relationship Id="rId14" Type="http://schemas.openxmlformats.org/officeDocument/2006/relationships/hyperlink" Target="https://en.wikipedia.org/wiki/Record_sea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Schuckman</dc:creator>
  <cp:keywords/>
  <dc:description/>
  <cp:lastModifiedBy>Amie Wright</cp:lastModifiedBy>
  <cp:revision>2</cp:revision>
  <cp:lastPrinted>2016-11-28T17:47:00Z</cp:lastPrinted>
  <dcterms:created xsi:type="dcterms:W3CDTF">2016-11-29T15:25:00Z</dcterms:created>
  <dcterms:modified xsi:type="dcterms:W3CDTF">2016-11-29T15:25:00Z</dcterms:modified>
</cp:coreProperties>
</file>